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019/04 vom 29. April 2004</w:t>
      </w:r>
    </w:p>
    <w:p>
      <w:r>
        <w:t>Bundesstrafgericht, 2004-04-29, DE</w:t>
      </w:r>
    </w:p>
    <w:p>
      <w:r>
        <w:rPr>
          <w:b/>
        </w:rPr>
        <w:t xml:space="preserve">Quelle: </w:t>
      </w:r>
      <w:r>
        <w:t>https://mcp.opencaselaw.ch/entscheid/bstger_BK_G 019_04</w:t>
      </w:r>
    </w:p>
    <w:p>
      <w:r>
        <w:t>FR: TPF BK_G 019/04 du 29 avril 2004</w:t>
      </w:r>
    </w:p>
    <w:p>
      <w:r>
        <w:t>IT: TPF BK_G 019/04 del 29 aprile 2004</w:t>
      </w:r>
    </w:p>
    <w:p>
      <w:pPr>
        <w:pStyle w:val="Heading2"/>
      </w:pPr>
      <w:r>
        <w:t>Regeste</w:t>
      </w:r>
    </w:p>
    <w:p>
      <w:r>
        <w:t>Bestimmung des Gerichtsstandes i.S. A.______ (Art. 350 Ziff. 1 StGB)</w:t>
      </w:r>
    </w:p>
    <w:p>
      <w:pPr>
        <w:pStyle w:val="Heading2"/>
      </w:pPr>
      <w:r>
        <w:t>Erwägungen</w:t>
      </w:r>
    </w:p>
    <w:p>
      <w:r>
        <w:rPr>
          <w:b/>
        </w:rPr>
        <w:t>E. 1</w:t>
      </w:r>
    </w:p>
    <w:p>
      <w:r>
        <w:t>Die Zuständigkeit der Beschwerdekammer des Bundesstrafgerichts zum Entscheid über die bei der - per 31. März 2004 aufgelösten - Anklagekam- mer des Bundesgerichts hängigen Verfahren betreffend Gerichtsstands- streitigkeiten ergibt sich aus Art. 33 Abs. 1 i.V.m. 28 Abs. 1 lit. g SGG sowie Art. 351 StGB.</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wird (Art. 350 Ziff. 1 Abs. 2 StGB).</w:t>
      </w:r>
    </w:p>
    <w:p>
      <w:r>
        <w:t>Bei der Beurteilung der Gerichtsstandsfrage muss von der Verdachtslage ausgegangen werden. Massgeblich ist nicht, was dem Beschuldigten nach- gewiesen werden kann, sondern der Tatbestand, der Gegenstand der Un- tersuchung bildet, es sei denn, diese erweise sich von vornherein als halt- los (BGE 98 IV 60 E. 2 S. 63; 97 IV 146 E. 1 S. 149). Die Kantone haben dabei von jener Aktenlage auszugehen, die zur Zeit der Verhandlungen über den Gerichtsstand vorliegt. Wo zur Klärung weitere Erhebungen an- gestellt wurden, geht die Beschwerdekammer von der Aktenlage im Zeit- punkt ihres Urteils aus (Urteil der Anklagekammer des Bundesgerichts 8G.2/2004 vom 26. Januar 2004 E. 1 sowie 8G.43/2003 vom 3. Juni 2003 E. 1.1; vgl. auch SCHWERI/BÄNZIGER, Interkantonale Gerichtsstandsbe- stimmung in Strafsachen, 2. Aufl., 2004, N. 286).</w:t>
      </w:r>
    </w:p>
    <w:p>
      <w:r>
        <w:t>- 4 -</w:t>
      </w:r>
    </w:p>
    <w:p>
      <w:r>
        <w:rPr>
          <w:b/>
        </w:rPr>
        <w:t>E. 2.2</w:t>
      </w:r>
    </w:p>
    <w:p>
      <w:r>
        <w:t>Vorliegend ergibt sich aufgrund der Aktenlage, dass sowohl zum Zeitpunkt der Gerichtsstandsverhandlungen als auch des vorliegenden Entscheids ein Diebstahlsverdacht gegen A.______ im Kanton Solothurn nicht in Frage kommt. Weder die Abklärungen, welche von der Polizei des Kantons Solo- thurn vorgenommen wurden, noch die Ermittlungen der Zuger Behörden lassen auf ein solches oder ein anderes, mit der gleichen oder einer schwe- reren Strafe bedrohtes Delikt schliessen. Damit steht im Kanton Solothurn als schwerste strafbare Handlung der Tatbestand des Fälschens von Aus- weisen (Art. 252 StGB) zur Diskussion. Dieser wird vom Gesetz lediglich mit Gefängnis oder mit Busse und demgemäss mit einer geringeren Strafe bedroht als der im Kanton Zug verfolgte Diebstahl (Art. 139 StGB). Gemäss Art. 350 Ziff. 1 Abs. 1 StGB ist der Kanton Zug folglich für zuständig zu er- klären. Am vorstehenden Ergebnis würde sich selbst dann nichts ändern, wenn man mit dem Gesuchsgegner davon ausgehen wollte, dass im Kanton So- lothurn zu einem früheren Zeitpunkt eine Untersuchung betreffend Dieb- stahl angehoben worden ist (vgl. hierzu BGE 86 IV 128 E. 1 b S. 130 f.; Ur- teil der Anklagekammer 8G.73/2003 vom 7. Juli 2003 E. 2; SCHWERI/BÄN- ZIGER, a.a.O., N. 141). Stellen die Behörden eines Kantons - vor der Verei- nigung der Verfolgung mehrerer strafbarer Handlungen in der Hand der Behörde eines Kantons - die Untersuchung bezüglich des schwersten De- liktes ein, ohne zu wissen, dass der Beschuldigte noch in anderen Kanto- nen verfolgt war, so wird der Kanton, der das Verfahren einstellte, übli- cherweise nicht mehr gezwungen, das gleichzeitig geführte Verfahren zu übernehmen (SCHWERI/BÄNZIGER, a.a.O., N. 299 ff.). Dies muss a fortiori gelten, wenn ein Kanton wie hier das Verfahren bezüglich eines gleich schwer wiegenden Delikts eingestellt hat, bevor das Verfahren im andern Kanton überhaupt angehoben worden ist. Entgegen der Auffassung des Gesuchsgegners (vgl. Schreiben vom 11. Februar 2004) muss dabei das solothurnische Verfahren betreffend Diebstahl als eingestellt betrachtet werden. Zwar trifft zu, dass ein formeller Abschluss nicht erfolgte. Aller- dings gilt ein Verfahren im Zusammenhang mit Art. 350 Ziff. 1 StGB auch dann als beendet, wenn es als tatsächlich erledigt anzusehen ist bzw. wenn eine Untersuchung zwar eröffnet, in der Folge aber nicht weiterge- führt wurde, ohne dass sie je formell eingestellt worden wäre (SCHWERI/BÄNZIGER, a.a.O., N. 269).</w:t>
      </w:r>
    </w:p>
    <w:p>
      <w:r>
        <w:rPr>
          <w:b/>
        </w:rPr>
        <w:t>E. 2.3</w:t>
      </w:r>
    </w:p>
    <w:p>
      <w:r>
        <w:t>Zusammenfassend ist damit das Gesuch der Staatsanwaltschaft des Kan- tons Solothurn gutzuheissen.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